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8371" w14:textId="77777777" w:rsidR="00121B24" w:rsidRDefault="00121B24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lang w:val="en-US"/>
        </w:rPr>
      </w:pPr>
    </w:p>
    <w:p w14:paraId="26A67173" w14:textId="61367104" w:rsidR="000E2E35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lang w:val="en-US"/>
        </w:rPr>
      </w:pPr>
      <w:proofErr w:type="spellStart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>Atribuţiile</w:t>
      </w:r>
      <w:proofErr w:type="spellEnd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>asistentului</w:t>
      </w:r>
      <w:proofErr w:type="spellEnd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 xml:space="preserve"> medical din: </w:t>
      </w:r>
      <w:proofErr w:type="spellStart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>creşe</w:t>
      </w:r>
      <w:proofErr w:type="spellEnd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>grădiniţe</w:t>
      </w:r>
      <w:proofErr w:type="spellEnd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>şcoli</w:t>
      </w:r>
      <w:proofErr w:type="spellEnd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>licee</w:t>
      </w:r>
      <w:proofErr w:type="spellEnd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>inclusiv</w:t>
      </w:r>
      <w:proofErr w:type="spellEnd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>şcoli</w:t>
      </w:r>
      <w:proofErr w:type="spellEnd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>speciale</w:t>
      </w:r>
      <w:proofErr w:type="spellEnd"/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 xml:space="preserve"> conform </w:t>
      </w:r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>ORDIN</w:t>
      </w:r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>ULUI</w:t>
      </w:r>
      <w:r w:rsidRPr="00121B24">
        <w:rPr>
          <w:rFonts w:ascii="Times New Roman" w:hAnsi="Times New Roman" w:cs="Times New Roman"/>
          <w:b/>
          <w:bCs/>
          <w:color w:val="212121"/>
          <w:kern w:val="0"/>
          <w:sz w:val="24"/>
          <w:szCs w:val="24"/>
          <w:u w:val="single"/>
          <w:lang w:val="en-US"/>
        </w:rPr>
        <w:t xml:space="preserve"> nr. 1.503/6.821/2025</w:t>
      </w:r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aprobarea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r w:rsidRPr="00121B24">
        <w:rPr>
          <w:rFonts w:ascii="Times New Roman" w:hAnsi="Times New Roman" w:cs="Times New Roman"/>
          <w:vanish/>
          <w:color w:val="212121"/>
          <w:kern w:val="0"/>
          <w:sz w:val="24"/>
          <w:szCs w:val="24"/>
          <w:lang w:val="en-US"/>
        </w:rPr>
        <w:t>&lt;LLNK 12025     02701251   0 12&gt;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u w:val="single"/>
          <w:lang w:val="en-US"/>
        </w:rPr>
        <w:t>Metodologiei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privind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asigurarea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asistenţei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gram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antepreşcolarilor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preşcolarilor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unităţile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preuniversitar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studenţilor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instituţiile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superior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menţinerea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stării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sănătate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colectivităţilor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promovarea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unui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stil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viaţă</w:t>
      </w:r>
      <w:proofErr w:type="spellEnd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color w:val="212121"/>
          <w:kern w:val="0"/>
          <w:sz w:val="24"/>
          <w:szCs w:val="24"/>
          <w:lang w:val="en-US"/>
        </w:rPr>
        <w:t>sănătos</w:t>
      </w:r>
      <w:proofErr w:type="spellEnd"/>
    </w:p>
    <w:p w14:paraId="43694C37" w14:textId="5A5B1308" w:rsidR="00096670" w:rsidRPr="00121B24" w:rsidRDefault="00096670" w:rsidP="00096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45617886" w14:textId="3133296B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color w:val="0000FF"/>
          <w:kern w:val="0"/>
          <w:sz w:val="24"/>
          <w:szCs w:val="24"/>
          <w:lang w:val="en-US"/>
        </w:rPr>
        <w:t>ANEXA 2</w:t>
      </w: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metodologie</w:t>
      </w:r>
      <w:proofErr w:type="spellEnd"/>
    </w:p>
    <w:p w14:paraId="31B84710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51A28FF4" w14:textId="14A9395B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</w:pP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>Atribuţiile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>asistentului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 xml:space="preserve"> medical din: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>creşe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>grădiniţe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>şcoli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>licee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>inclusiv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>şcoli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en-US"/>
        </w:rPr>
        <w:t>speciale</w:t>
      </w:r>
      <w:proofErr w:type="spellEnd"/>
    </w:p>
    <w:p w14:paraId="0F9993B5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14:paraId="647966B2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   1.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Identificarea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managementul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riscurilor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sănătatea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colectivităţii</w:t>
      </w:r>
      <w:proofErr w:type="spellEnd"/>
    </w:p>
    <w:p w14:paraId="20659973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Semnalează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nevoile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amenajare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dotare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cabinetului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medical.</w:t>
      </w:r>
    </w:p>
    <w:p w14:paraId="74BCA1FF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modul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respectă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programul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odihnă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pasivă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somn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activă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jocuri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condiţiile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realizează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aceasta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39FAFF2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Îndrumă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cadrele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metodelor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călire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aer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soare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mişcare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gram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organismului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02D9794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modul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respectă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normele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igienă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individuală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creşe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grădiniţe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timpul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programului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servirea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mesei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01CD93E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e)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Controlează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igiena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individuală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colaborând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informarea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remedierea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deficitare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constatate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DC6D626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f)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Izolează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suspecţi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boli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transmisibile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anunţă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urgent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, familia/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reprezentantul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legal,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conform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metodologiei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contacţilor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012333E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g)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focarele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boli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transmisibile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iniţiază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aplică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antiepidemice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combatere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limitare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bolilor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transmisibile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focar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5449749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h)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Prezintă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produsele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biologice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recoltate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exsudate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nazo-faringiene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laboratoarelor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microbiologie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ridică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buletinele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analiză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36C831E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Întocmeşte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zilnic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creşe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grădiniţe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evidenţa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absenţi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motive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urmărind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revenirea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fie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condiţionată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prezentarea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avizului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epidemiologic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favorabil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eliberat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familie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curant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absenţe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depăşesc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3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zile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lucrătoare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consecutive.</w:t>
      </w:r>
    </w:p>
    <w:p w14:paraId="04EEE733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j)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Monitorizează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zilnic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respectarea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normelor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igienă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creşe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grădiniţe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grupă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bloc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alimentar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dormitoare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spălătorie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călcătorie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grupuri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curte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etc.)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şcoli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spaţiile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clasă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laboratoare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ateliere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grupuri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sport),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cazare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dormitoare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meditaţii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grupuri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spălătorii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alimentaţie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bucătăriile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incinta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anexele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mese,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inclusiv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alimentaţie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publică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aflate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incinta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consemnând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caietul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special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destinată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toate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constatările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făcute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aducând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operativ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cunoştinţa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conducerii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deficienţele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constatate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C284613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k)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Instruieşte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administrativ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îngrijire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spaţiile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cazare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alimentaţie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sarcinile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revin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asigurarea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stării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igienă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spaţiile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respective.</w:t>
      </w:r>
    </w:p>
    <w:p w14:paraId="101529BC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16EEDB2E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   2.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Gestionarea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circuitelor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funcţionale</w:t>
      </w:r>
      <w:proofErr w:type="spellEnd"/>
    </w:p>
    <w:p w14:paraId="645B2AEE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Urmăreşte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respectarea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circuitelor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funcţionale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autorizate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aduce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cunoştinţa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eventualele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nereguli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sesizate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88AE7A5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23E57019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   3.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Monitorizează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respectarea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reglementărilor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sănătate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publică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se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implică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activ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corectarea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abaterilor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40A29AD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4.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Monitorizarea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condiţiilor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modului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preparare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servire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hranei</w:t>
      </w:r>
      <w:proofErr w:type="spellEnd"/>
    </w:p>
    <w:p w14:paraId="04EDAD57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întocmirea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meniurilor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săptămânale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D1F8DC4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efectuarea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periodică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anchetelor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alimentaţia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bloc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alimentar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propriu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E8E63A8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Consemnează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zilnic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cadrul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fiecărei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ture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într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-un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caiet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anume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destinat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controlul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blocului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alimentar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cantinei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constatările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starea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igienă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acestuia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starea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agregatelor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frigorifice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calitatea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alimentelor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scoase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magazie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mâncării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791FA80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Controlează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consemnează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igiena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individuală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blocului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alimentar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cantinei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starea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acestuia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identificând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persoanele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prezintă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febră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diaree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infecţii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pielii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tuse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expectoraţie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amigdalite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pultacee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aducând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cunoştinţa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conducerii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aceste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constatări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care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contraindică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unitatea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643CB81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e)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Asistă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scoaterea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alimentelor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magazie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controlează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calităţile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organoleptice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semnând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foaia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alimentaţie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calitatea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alimentelor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1E2E6E3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f)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Verifica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nevoie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calitatea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organoleptică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integritatea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ambalajelor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termenul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garanţie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gram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alimentelor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aduse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catering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asigură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servirea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mesei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contracte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proprii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inclusiv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programul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"Masa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Sănătoasă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" precum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programul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"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Laptele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cornul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",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informând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conducerea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abaterii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normele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igienă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8C04FD5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14C36F28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   5.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Servicii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menţinere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stării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sănătate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individuale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colective</w:t>
      </w:r>
      <w:proofErr w:type="spellEnd"/>
    </w:p>
    <w:p w14:paraId="288BFDAA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5.1.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curente</w:t>
      </w:r>
      <w:proofErr w:type="spellEnd"/>
    </w:p>
    <w:p w14:paraId="1D8F3C13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Gestionează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condiţiile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legii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normelor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Ministerului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Sănătăţii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instrumentarul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materialele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medicamentele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aparatul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răspunde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utilizarea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lor.</w:t>
      </w:r>
    </w:p>
    <w:p w14:paraId="1B006C29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Urmăreşte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stocurile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aprovizionarea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cabinetului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medicamente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aparatul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materiale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instrumentar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medical, sub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A4230C4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cadrele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psihologi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logopezi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depistarea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tulburărilor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dezvoltării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neuropsihomotorii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limbajului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comunicând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constatate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855C12B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6CE07319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5.2.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Imunizări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condiţii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</w:p>
    <w:p w14:paraId="79AC762C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Îndeplineşte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medic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organizarea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imunizare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83E6BFF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b)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catagrafia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eligibili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imunizări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DC1F2C6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sub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imunizările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48B674D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imunizările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efectuate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consultaţie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registrul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vaccinări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306D8DB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e)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apariţia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reacţiilor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adverse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postimunizare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vaccinările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efectuate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speciale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8BA01E8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f)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Încurajează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cadrele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faciliteze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accepte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imunizărilor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interesul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superior al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2E7EB89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g)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Răspunde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păstrarea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vaccinurilor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cabinetul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medical, pe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durata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programului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lucru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conform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reglementărilor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643D7D7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13BC0A41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5.3.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Triaj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epidemiologic</w:t>
      </w:r>
    </w:p>
    <w:p w14:paraId="2FE22D77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zilnic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triajul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epidemiologic al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creşe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grădiniţe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examinând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tegumentele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mucoasele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scalpul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consemnează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triajul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într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-un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registru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special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destinat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Nu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fi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admişi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prezintă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angină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febră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angină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depozite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pultacee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angină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secreţii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nazale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muco-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purulente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sindrom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tusigen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febră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conjunctivită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acută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orjelet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ochi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roşu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diagnosticare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subicter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icter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diagnosticare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erupţii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cutanate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potenţial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infecto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contagios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diagnosticare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pediculoză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prezenţa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elemente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vii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lindini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firele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păr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precum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afecţiuni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potenţial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contagioase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2F6FD82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triajul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epidemiologic al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tuturor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fiecare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vacanţă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câte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nevoie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recomandând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izolarea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domiciliu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depistaţi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afecţiunile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menţionate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alin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 a).</w:t>
      </w:r>
    </w:p>
    <w:p w14:paraId="28681E73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Depistează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izolează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orice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boală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infecto-contagioasă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informând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aceasta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D64DA6C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efectuarea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acţiuni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investigare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suspecţi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contacţi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focarele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boli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transmisibile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sub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îndrumarea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conform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metodologiilor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11C475C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e)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Aplică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tratamentele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chimioprofilactice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focare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indicaţia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scrisă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specialist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conform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metodologiilor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4EA845E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f)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Iniţiază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antiparazitare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antiinfecţioase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focarele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creşe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grădiniţe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şcoli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conform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normelor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legale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3E4CBDD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g)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Execută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acţiunile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epidemiologică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bolilor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infecto-contagioase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sezonul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epidemic,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conformitate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protocoalele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procedurile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sarcinilor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repartizate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medic.</w:t>
      </w:r>
    </w:p>
    <w:p w14:paraId="7B6D9C39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370F26BA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5B4D7653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   6.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Servicii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examinare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stării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sănătate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copiilor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elevilor</w:t>
      </w:r>
      <w:proofErr w:type="spellEnd"/>
    </w:p>
    <w:p w14:paraId="45C1364D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sub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îndrumarea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anchetele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stării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iniţiate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tineri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arondate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conform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dispoziţiilor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04D143F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b)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alături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examinarea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bilanţ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stării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efectuând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somatometria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fiziometria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consemnarea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fişele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80E7A6C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somatometria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somatoscopia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fiziometria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cadrul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examenului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 periodic, la 3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luni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6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luni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anual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şcolari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înscriind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datele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rezultate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fişele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examenul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acuităţii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vizuale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E7B4A49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Consemnează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fişele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absenţele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cauze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scutirile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educaţie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fizică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scutirile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efort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instruirea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practică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certificatele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eliberate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specialişti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bursele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ADDD68C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e)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alături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medic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vizita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înscriu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licee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specialitate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şcoli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profesionale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licee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vocaţionale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B7C6E6E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f)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consiliile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profesorale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prezentarea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analizei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anuale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stării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FA56D4A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g)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Asigură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perioada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desfăşurării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examenelor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naţionale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gram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examenelor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bacalaureat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gram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examenului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obţinerea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atestatelor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profesionale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concursurilor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olimpiadelor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excepţia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sportive,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timpul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programului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lucru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85EAF7D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237F0EC7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7.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Monitorizarea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copiilor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afecţiuni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cronice</w:t>
      </w:r>
      <w:proofErr w:type="spellEnd"/>
    </w:p>
    <w:p w14:paraId="5C669CE4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afecţiuni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cronice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consemnând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fişele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registrul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evidenţă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specială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datele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controalelor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examenelor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reevaluărilor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79DC44C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2A807FE9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   8.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Eliberarea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documentelor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necesare</w:t>
      </w:r>
      <w:proofErr w:type="spellEnd"/>
    </w:p>
    <w:p w14:paraId="1EB7E17E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Înmânează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cerere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direct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sub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semnătură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documentele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pregătite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prealabil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semnate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parafate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medic.</w:t>
      </w:r>
    </w:p>
    <w:p w14:paraId="0F525C11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65A2C1FA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9.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Servicii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asigurare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stării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sănătate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individuale</w:t>
      </w:r>
      <w:proofErr w:type="spellEnd"/>
    </w:p>
    <w:p w14:paraId="2FF890CD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Acordă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nevoie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limita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competenţelor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primul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ajutor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arondate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apelează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informând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ulterior familia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conform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procedurii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operaţionale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existente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DD7E169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tratamente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simptomatice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strict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indicaţia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acordul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DEF6A4A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afecţiuni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acute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strict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tratamentul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indicat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preluarea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familie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ambulanţă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4CD5726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sub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condica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medicamente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materiale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aparatul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întocmirea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referatului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necesitate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4952479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28A4FD5E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10.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Servicii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promovare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unui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stil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viaţă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sănătos</w:t>
      </w:r>
      <w:proofErr w:type="spellEnd"/>
    </w:p>
    <w:p w14:paraId="5C98B698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formarea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deprinderilor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igienă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individuală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9A1CEF1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b)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sub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îndrumarea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colectivităţii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promovare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sănătăţii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creşă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grădiniţă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rândul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al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familiilor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cadrelor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F8CD8B3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Instruieşte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grupele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9625378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cadrele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susţinerea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lecţiilor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prelegerilor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educaţia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C2919F5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e)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consiliile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profesorale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discută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iau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vizând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aspectele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sanitare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unitatea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FD58D0B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7E90ABF2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   11.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Educaţie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medicală</w:t>
      </w:r>
      <w:proofErr w:type="spellEnd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continuă</w:t>
      </w:r>
      <w:proofErr w:type="spellEnd"/>
    </w:p>
    <w:p w14:paraId="0F2151A9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instruiri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profesionale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programe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educaţie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continuă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conform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reglementărilor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C4685DB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0889E4A6" w14:textId="77777777" w:rsidR="002975A7" w:rsidRPr="007B16F7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7B16F7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12. </w:t>
      </w:r>
      <w:proofErr w:type="spellStart"/>
      <w:r w:rsidRPr="007B16F7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Raportare</w:t>
      </w:r>
      <w:proofErr w:type="spellEnd"/>
      <w:r w:rsidRPr="007B16F7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7B16F7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activitate</w:t>
      </w:r>
      <w:proofErr w:type="spellEnd"/>
    </w:p>
    <w:p w14:paraId="2D156FB9" w14:textId="77777777" w:rsidR="002975A7" w:rsidRPr="00121B24" w:rsidRDefault="002975A7" w:rsidP="00297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sub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îndrumarea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centralizatorul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activitate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specifică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conform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modelului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prevăzut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Anexele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15.1 </w:t>
      </w:r>
      <w:proofErr w:type="spellStart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121B24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15.2.</w:t>
      </w:r>
    </w:p>
    <w:p w14:paraId="7F9EA076" w14:textId="2066B024" w:rsidR="00D06F94" w:rsidRPr="000E2E35" w:rsidRDefault="00D06F94" w:rsidP="00096670">
      <w:pPr>
        <w:rPr>
          <w:rFonts w:ascii="Times New Roman" w:hAnsi="Times New Roman" w:cs="Times New Roman"/>
          <w:sz w:val="24"/>
          <w:szCs w:val="24"/>
        </w:rPr>
      </w:pPr>
    </w:p>
    <w:sectPr w:rsidR="00D06F94" w:rsidRPr="000E2E3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C79B" w14:textId="77777777" w:rsidR="00243B28" w:rsidRDefault="00243B28" w:rsidP="00121B24">
      <w:pPr>
        <w:spacing w:after="0" w:line="240" w:lineRule="auto"/>
      </w:pPr>
      <w:r>
        <w:separator/>
      </w:r>
    </w:p>
  </w:endnote>
  <w:endnote w:type="continuationSeparator" w:id="0">
    <w:p w14:paraId="1021A51D" w14:textId="77777777" w:rsidR="00243B28" w:rsidRDefault="00243B28" w:rsidP="0012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EB28" w14:textId="77777777" w:rsidR="00243B28" w:rsidRDefault="00243B28" w:rsidP="00121B24">
      <w:pPr>
        <w:spacing w:after="0" w:line="240" w:lineRule="auto"/>
      </w:pPr>
      <w:r>
        <w:separator/>
      </w:r>
    </w:p>
  </w:footnote>
  <w:footnote w:type="continuationSeparator" w:id="0">
    <w:p w14:paraId="0A045E23" w14:textId="77777777" w:rsidR="00243B28" w:rsidRDefault="00243B28" w:rsidP="0012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0" w:type="dxa"/>
      <w:tblInd w:w="-5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09"/>
      <w:gridCol w:w="4625"/>
      <w:gridCol w:w="2876"/>
    </w:tblGrid>
    <w:tr w:rsidR="00121B24" w:rsidRPr="00912366" w14:paraId="0CB4959B" w14:textId="77777777" w:rsidTr="004D08EC">
      <w:trPr>
        <w:trHeight w:val="1930"/>
      </w:trPr>
      <w:tc>
        <w:tcPr>
          <w:tcW w:w="3209" w:type="dxa"/>
        </w:tcPr>
        <w:p w14:paraId="394E66FA" w14:textId="77777777" w:rsidR="00121B24" w:rsidRPr="00912366" w:rsidRDefault="00121B24" w:rsidP="00121B2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C45911" w:themeColor="accent2" w:themeShade="BF"/>
              <w:kern w:val="0"/>
              <w:sz w:val="16"/>
              <w:szCs w:val="16"/>
              <w:lang w:val="ro-RO" w:eastAsia="ro-RO"/>
              <w14:ligatures w14:val="none"/>
            </w:rPr>
          </w:pPr>
          <w:r w:rsidRPr="00912366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4415FC58" wp14:editId="1A7EA4F2">
                <wp:extent cx="1828800" cy="1247775"/>
                <wp:effectExtent l="0" t="0" r="0" b="0"/>
                <wp:docPr id="1758468285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53" cy="1267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5" w:type="dxa"/>
          <w:shd w:val="clear" w:color="auto" w:fill="FFFFFF"/>
        </w:tcPr>
        <w:p w14:paraId="0FD15E5D" w14:textId="77777777" w:rsidR="00121B24" w:rsidRPr="00912366" w:rsidRDefault="00121B24" w:rsidP="00121B2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993300"/>
              <w:kern w:val="0"/>
              <w:sz w:val="24"/>
              <w:szCs w:val="24"/>
              <w:lang w:val="fr-FR" w:eastAsia="ro-RO"/>
              <w14:ligatures w14:val="none"/>
            </w:rPr>
          </w:pPr>
        </w:p>
        <w:p w14:paraId="6E1DCB95" w14:textId="77777777" w:rsidR="00121B24" w:rsidRPr="00912366" w:rsidRDefault="00121B24" w:rsidP="00121B2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800000"/>
              <w:kern w:val="0"/>
              <w:sz w:val="24"/>
              <w:szCs w:val="24"/>
              <w:lang w:val="fr-FR" w:eastAsia="ro-RO"/>
              <w14:ligatures w14:val="none"/>
            </w:rPr>
          </w:pPr>
          <w:r w:rsidRPr="00912366">
            <w:rPr>
              <w:rFonts w:ascii="Times New Roman" w:eastAsia="Times New Roman" w:hAnsi="Times New Roman" w:cs="Times New Roman"/>
              <w:b/>
              <w:bCs/>
              <w:color w:val="800000"/>
              <w:kern w:val="0"/>
              <w:sz w:val="24"/>
              <w:szCs w:val="24"/>
              <w:lang w:val="fr-FR" w:eastAsia="ro-RO"/>
              <w14:ligatures w14:val="none"/>
            </w:rPr>
            <w:t>CONSILIUL LOCAL SATU MARE</w:t>
          </w:r>
        </w:p>
        <w:p w14:paraId="0817FD02" w14:textId="77777777" w:rsidR="00121B24" w:rsidRPr="00912366" w:rsidRDefault="00121B24" w:rsidP="00121B2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800000"/>
              <w:kern w:val="0"/>
              <w:sz w:val="24"/>
              <w:szCs w:val="24"/>
              <w:lang w:val="fr-FR" w:eastAsia="ro-RO"/>
              <w14:ligatures w14:val="none"/>
            </w:rPr>
          </w:pPr>
        </w:p>
        <w:p w14:paraId="1B51DC2B" w14:textId="77777777" w:rsidR="00121B24" w:rsidRPr="00912366" w:rsidRDefault="00121B24" w:rsidP="00121B2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800000"/>
              <w:kern w:val="0"/>
              <w:sz w:val="24"/>
              <w:szCs w:val="24"/>
              <w:lang w:val="fr-FR" w:eastAsia="ro-RO"/>
              <w14:ligatures w14:val="none"/>
            </w:rPr>
          </w:pPr>
          <w:r w:rsidRPr="00912366">
            <w:rPr>
              <w:rFonts w:ascii="Times New Roman" w:eastAsia="Times New Roman" w:hAnsi="Times New Roman" w:cs="Times New Roman"/>
              <w:color w:val="800000"/>
              <w:kern w:val="0"/>
              <w:sz w:val="24"/>
              <w:szCs w:val="24"/>
              <w:lang w:val="fr-FR" w:eastAsia="ro-RO"/>
              <w14:ligatures w14:val="none"/>
            </w:rPr>
            <w:t>DIRE</w:t>
          </w:r>
          <w:r w:rsidRPr="00912366">
            <w:rPr>
              <w:rFonts w:ascii="Times New Roman" w:eastAsia="Times New Roman" w:hAnsi="Times New Roman" w:cs="Times New Roman"/>
              <w:color w:val="800000"/>
              <w:kern w:val="0"/>
              <w:sz w:val="24"/>
              <w:szCs w:val="24"/>
              <w:lang w:val="ro-RO" w:eastAsia="ro-RO"/>
              <w14:ligatures w14:val="none"/>
            </w:rPr>
            <w:t>CȚIA</w:t>
          </w:r>
          <w:r w:rsidRPr="00912366">
            <w:rPr>
              <w:rFonts w:ascii="Times New Roman" w:eastAsia="Times New Roman" w:hAnsi="Times New Roman" w:cs="Times New Roman"/>
              <w:color w:val="800000"/>
              <w:kern w:val="0"/>
              <w:sz w:val="24"/>
              <w:szCs w:val="24"/>
              <w:lang w:val="fr-FR" w:eastAsia="ro-RO"/>
              <w14:ligatures w14:val="none"/>
            </w:rPr>
            <w:t xml:space="preserve"> DE ASISTENŢĂ SOCIALĂ</w:t>
          </w:r>
        </w:p>
        <w:p w14:paraId="2E781811" w14:textId="77777777" w:rsidR="00121B24" w:rsidRPr="00912366" w:rsidRDefault="00121B24" w:rsidP="00121B2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800000"/>
              <w:kern w:val="0"/>
              <w:sz w:val="24"/>
              <w:szCs w:val="24"/>
              <w:lang w:val="fr-FR" w:eastAsia="ro-RO"/>
              <w14:ligatures w14:val="none"/>
            </w:rPr>
          </w:pPr>
          <w:r w:rsidRPr="00912366">
            <w:rPr>
              <w:rFonts w:ascii="Times New Roman" w:eastAsia="Times New Roman" w:hAnsi="Times New Roman" w:cs="Times New Roman"/>
              <w:color w:val="800000"/>
              <w:kern w:val="0"/>
              <w:sz w:val="24"/>
              <w:szCs w:val="24"/>
              <w:lang w:val="fr-FR" w:eastAsia="ro-RO"/>
              <w14:ligatures w14:val="none"/>
            </w:rPr>
            <w:t>SATU MARE</w:t>
          </w:r>
        </w:p>
        <w:p w14:paraId="504011BA" w14:textId="77777777" w:rsidR="00121B24" w:rsidRPr="00912366" w:rsidRDefault="00121B24" w:rsidP="00121B2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993300"/>
              <w:kern w:val="0"/>
              <w:sz w:val="28"/>
              <w:szCs w:val="28"/>
              <w:lang w:val="fr-FR" w:eastAsia="ro-RO"/>
              <w14:ligatures w14:val="none"/>
            </w:rPr>
          </w:pPr>
        </w:p>
      </w:tc>
      <w:tc>
        <w:tcPr>
          <w:tcW w:w="2876" w:type="dxa"/>
          <w:shd w:val="clear" w:color="auto" w:fill="FFFFFF"/>
        </w:tcPr>
        <w:p w14:paraId="44F4E656" w14:textId="77777777" w:rsidR="00121B24" w:rsidRPr="00912366" w:rsidRDefault="00121B24" w:rsidP="00121B2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993300"/>
              <w:kern w:val="0"/>
              <w:sz w:val="28"/>
              <w:szCs w:val="28"/>
              <w:lang w:val="ro-RO" w:eastAsia="ro-RO"/>
              <w14:ligatures w14:val="none"/>
            </w:rPr>
          </w:pPr>
          <w:r w:rsidRPr="00912366">
            <w:rPr>
              <w:rFonts w:ascii="Times New Roman" w:eastAsia="Times New Roman" w:hAnsi="Times New Roman" w:cs="Times New Roman"/>
              <w:b/>
              <w:bCs/>
              <w:noProof/>
              <w:color w:val="993300"/>
              <w:kern w:val="0"/>
              <w:sz w:val="28"/>
              <w:szCs w:val="28"/>
              <w:lang w:val="ro-RO" w:eastAsia="ro-RO"/>
              <w14:ligatures w14:val="none"/>
            </w:rPr>
            <w:drawing>
              <wp:inline distT="0" distB="0" distL="0" distR="0" wp14:anchorId="078A9DC0" wp14:editId="6BD28D50">
                <wp:extent cx="1428750" cy="685800"/>
                <wp:effectExtent l="0" t="0" r="0" b="0"/>
                <wp:docPr id="842299931" name="Picture 1" descr="C:\Users\pc1\Downloads\DAS_logono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1\Downloads\DAS_logono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148" cy="68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2353BF3" w14:textId="77777777" w:rsidR="00121B24" w:rsidRPr="00912366" w:rsidRDefault="00121B24" w:rsidP="00121B24">
          <w:pPr>
            <w:spacing w:after="0" w:line="240" w:lineRule="auto"/>
            <w:rPr>
              <w:rFonts w:ascii="Times New Roman" w:eastAsia="Times New Roman" w:hAnsi="Times New Roman" w:cs="Times New Roman"/>
              <w:color w:val="C45911" w:themeColor="accent2" w:themeShade="BF"/>
              <w:kern w:val="0"/>
              <w:sz w:val="16"/>
              <w:szCs w:val="16"/>
              <w:lang w:val="ro-RO" w:eastAsia="ro-RO"/>
              <w14:ligatures w14:val="none"/>
            </w:rPr>
          </w:pPr>
          <w:r w:rsidRPr="00912366">
            <w:rPr>
              <w:rFonts w:ascii="Times New Roman" w:eastAsia="Times New Roman" w:hAnsi="Times New Roman" w:cs="Times New Roman"/>
              <w:color w:val="C45911" w:themeColor="accent2" w:themeShade="BF"/>
              <w:kern w:val="0"/>
              <w:sz w:val="16"/>
              <w:szCs w:val="16"/>
              <w:lang w:val="ro-RO" w:eastAsia="ro-RO"/>
              <w14:ligatures w14:val="none"/>
            </w:rPr>
            <w:t>Aleea Ilișești nr. 4, Cod  440132</w:t>
          </w:r>
        </w:p>
        <w:p w14:paraId="4F49906D" w14:textId="77777777" w:rsidR="00121B24" w:rsidRPr="00912366" w:rsidRDefault="00121B24" w:rsidP="00121B24">
          <w:pPr>
            <w:spacing w:after="0" w:line="240" w:lineRule="auto"/>
            <w:rPr>
              <w:rFonts w:ascii="Times New Roman" w:eastAsia="Times New Roman" w:hAnsi="Times New Roman" w:cs="Times New Roman"/>
              <w:color w:val="C45911" w:themeColor="accent2" w:themeShade="BF"/>
              <w:kern w:val="0"/>
              <w:sz w:val="16"/>
              <w:szCs w:val="16"/>
              <w:lang w:val="ro-RO" w:eastAsia="ro-RO"/>
              <w14:ligatures w14:val="none"/>
            </w:rPr>
          </w:pPr>
          <w:r w:rsidRPr="00912366">
            <w:rPr>
              <w:rFonts w:ascii="Times New Roman" w:eastAsia="Times New Roman" w:hAnsi="Times New Roman" w:cs="Times New Roman"/>
              <w:color w:val="C45911" w:themeColor="accent2" w:themeShade="BF"/>
              <w:kern w:val="0"/>
              <w:sz w:val="16"/>
              <w:szCs w:val="16"/>
              <w:lang w:val="ro-RO" w:eastAsia="ro-RO"/>
              <w14:ligatures w14:val="none"/>
            </w:rPr>
            <w:t>Cod fiscal: 16047824</w:t>
          </w:r>
        </w:p>
        <w:p w14:paraId="54367373" w14:textId="77777777" w:rsidR="00121B24" w:rsidRPr="00912366" w:rsidRDefault="00121B24" w:rsidP="00121B24">
          <w:pPr>
            <w:spacing w:after="0" w:line="240" w:lineRule="auto"/>
            <w:rPr>
              <w:rFonts w:ascii="Times New Roman" w:eastAsia="Times New Roman" w:hAnsi="Times New Roman" w:cs="Times New Roman"/>
              <w:color w:val="C45911" w:themeColor="accent2" w:themeShade="BF"/>
              <w:kern w:val="0"/>
              <w:sz w:val="16"/>
              <w:szCs w:val="16"/>
              <w:lang w:val="ro-RO" w:eastAsia="ro-RO"/>
              <w14:ligatures w14:val="none"/>
            </w:rPr>
          </w:pPr>
          <w:r w:rsidRPr="00912366">
            <w:rPr>
              <w:rFonts w:ascii="Times New Roman" w:eastAsia="Times New Roman" w:hAnsi="Times New Roman" w:cs="Times New Roman"/>
              <w:color w:val="C45911" w:themeColor="accent2" w:themeShade="BF"/>
              <w:kern w:val="0"/>
              <w:sz w:val="16"/>
              <w:szCs w:val="16"/>
              <w:lang w:val="ro-RO" w:eastAsia="ro-RO"/>
              <w14:ligatures w14:val="none"/>
            </w:rPr>
            <w:t xml:space="preserve"> E-mail: </w:t>
          </w:r>
          <w:hyperlink r:id="rId3" w:history="1">
            <w:r w:rsidRPr="00912366">
              <w:rPr>
                <w:rFonts w:ascii="Times New Roman" w:eastAsia="Times New Roman" w:hAnsi="Times New Roman" w:cs="Times New Roman"/>
                <w:color w:val="0563C1" w:themeColor="hyperlink"/>
                <w:kern w:val="0"/>
                <w:sz w:val="16"/>
                <w:szCs w:val="16"/>
                <w:u w:val="single"/>
                <w:lang w:val="ro-RO" w:eastAsia="ro-RO"/>
                <w14:ligatures w14:val="none"/>
              </w:rPr>
              <w:t>info@dassatumare.ro</w:t>
            </w:r>
          </w:hyperlink>
        </w:p>
        <w:p w14:paraId="47F7E90E" w14:textId="77777777" w:rsidR="00121B24" w:rsidRPr="00912366" w:rsidRDefault="00121B24" w:rsidP="00121B24">
          <w:pPr>
            <w:spacing w:after="0" w:line="240" w:lineRule="auto"/>
            <w:rPr>
              <w:rFonts w:ascii="Times New Roman" w:eastAsia="Times New Roman" w:hAnsi="Times New Roman" w:cs="Times New Roman"/>
              <w:color w:val="C45911" w:themeColor="accent2" w:themeShade="BF"/>
              <w:kern w:val="0"/>
              <w:sz w:val="16"/>
              <w:szCs w:val="16"/>
              <w:lang w:val="ro-RO" w:eastAsia="ro-RO"/>
              <w14:ligatures w14:val="none"/>
            </w:rPr>
          </w:pPr>
          <w:r w:rsidRPr="00912366">
            <w:rPr>
              <w:rFonts w:ascii="Times New Roman" w:eastAsia="Times New Roman" w:hAnsi="Times New Roman" w:cs="Times New Roman"/>
              <w:color w:val="C45911" w:themeColor="accent2" w:themeShade="BF"/>
              <w:kern w:val="0"/>
              <w:sz w:val="16"/>
              <w:szCs w:val="16"/>
              <w:lang w:val="ro-RO" w:eastAsia="ro-RO"/>
              <w14:ligatures w14:val="none"/>
            </w:rPr>
            <w:t>Tel/fax: 0261-714195/0261-714196</w:t>
          </w:r>
        </w:p>
      </w:tc>
    </w:tr>
  </w:tbl>
  <w:p w14:paraId="06DC14C8" w14:textId="77777777" w:rsidR="00121B24" w:rsidRPr="00912366" w:rsidRDefault="00121B24" w:rsidP="00121B24">
    <w:pPr>
      <w:pBdr>
        <w:top w:val="single" w:sz="4" w:space="1" w:color="auto"/>
        <w:left w:val="single" w:sz="4" w:space="26" w:color="auto"/>
        <w:bottom w:val="single" w:sz="4" w:space="2" w:color="auto"/>
        <w:right w:val="single" w:sz="4" w:space="27" w:color="auto"/>
      </w:pBdr>
      <w:shd w:val="clear" w:color="auto" w:fill="F4B083" w:themeFill="accent2" w:themeFillTint="99"/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16"/>
        <w:szCs w:val="16"/>
        <w:lang w:eastAsia="ro-RO"/>
        <w14:ligatures w14:val="none"/>
      </w:rPr>
    </w:pPr>
    <w:r>
      <w:rPr>
        <w:rFonts w:ascii="Times New Roman" w:eastAsia="Times New Roman" w:hAnsi="Times New Roman" w:cs="Times New Roman"/>
        <w:b/>
        <w:bCs/>
        <w:kern w:val="0"/>
        <w:sz w:val="16"/>
        <w:szCs w:val="16"/>
        <w:lang w:eastAsia="ro-RO"/>
        <w14:ligatures w14:val="none"/>
      </w:rPr>
      <w:t>SERVICIUL RESURSE UMANE-SALARIZARE</w:t>
    </w:r>
  </w:p>
  <w:p w14:paraId="4EF6E365" w14:textId="77777777" w:rsidR="00121B24" w:rsidRDefault="00121B2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F1"/>
    <w:rsid w:val="00096670"/>
    <w:rsid w:val="000E2E35"/>
    <w:rsid w:val="00121B24"/>
    <w:rsid w:val="00243B28"/>
    <w:rsid w:val="002975A7"/>
    <w:rsid w:val="005A2780"/>
    <w:rsid w:val="005C0E52"/>
    <w:rsid w:val="007B16F7"/>
    <w:rsid w:val="007E31F1"/>
    <w:rsid w:val="00D0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3DFE"/>
  <w15:chartTrackingRefBased/>
  <w15:docId w15:val="{6FD52454-4365-44D4-88FA-7B247AC7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E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E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E3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E3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E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E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E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E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E3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E3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E3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31F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E31F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E31F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E31F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E31F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E31F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E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E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E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E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E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E31F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E31F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E31F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E3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E31F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E31F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121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1B24"/>
  </w:style>
  <w:style w:type="paragraph" w:styleId="Subsol">
    <w:name w:val="footer"/>
    <w:basedOn w:val="Normal"/>
    <w:link w:val="SubsolCaracter"/>
    <w:uiPriority w:val="99"/>
    <w:unhideWhenUsed/>
    <w:rsid w:val="00121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assatumare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BARA</dc:creator>
  <cp:keywords/>
  <dc:description/>
  <cp:lastModifiedBy>RALUCA BARA</cp:lastModifiedBy>
  <cp:revision>4</cp:revision>
  <dcterms:created xsi:type="dcterms:W3CDTF">2025-10-29T11:33:00Z</dcterms:created>
  <dcterms:modified xsi:type="dcterms:W3CDTF">2026-02-16T09:05:00Z</dcterms:modified>
</cp:coreProperties>
</file>